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92.png" ContentType="image/png"/>
  <Override PartName="/word/media/rId91.png" ContentType="image/png"/>
  <Override PartName="/word/media/rId88.png" ContentType="image/png"/>
  <Override PartName="/word/media/rId87.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30</w:t>
      </w:r>
      <w:r>
        <w:t xml:space="preserve"> </w:t>
      </w:r>
      <w:r>
        <w:t xml:space="preserve">December,</w:t>
      </w:r>
      <w:r>
        <w:t xml:space="preserve"> </w:t>
      </w:r>
      <w:r>
        <w:t xml:space="preserve">2021</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2"/>
    <w:bookmarkStart w:id="27"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3"/>
    <w:bookmarkStart w:id="24"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w:t>
      </w:r>
    </w:p>
    <w:bookmarkEnd w:id="24"/>
    <w:bookmarkStart w:id="25"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we assume all fish prey have the same energy densities as juvenile Chinook Salmon.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Chinook Salmon potentially consumed by all Northern Pikeminnow in Deadwater Slough, we multiplied the grams of fish consumed by an individual Northern Pikeminnow by the estimated predator population size during each period (fall and spring). The estimate of total biomass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6"/>
    <w:bookmarkEnd w:id="27"/>
    <w:bookmarkStart w:id="31" w:name="results"/>
    <w:p>
      <w:pPr>
        <w:pStyle w:val="Heading1"/>
      </w:pPr>
      <w:r>
        <w:t xml:space="preserve">Results</w:t>
      </w:r>
    </w:p>
    <w:bookmarkStart w:id="28" w:name="northern-pikeminnow-abundance-1"/>
    <w:p>
      <w:pPr>
        <w:pStyle w:val="Heading2"/>
      </w:pPr>
      <w:r>
        <w:t xml:space="preserve">Northern Pikeminnow Abundance</w:t>
      </w:r>
    </w:p>
    <w:p>
      <w:pPr>
        <w:pStyle w:val="FirstParagraph"/>
      </w:pPr>
      <w:r>
        <w:t xml:space="preserve">Using hook-and-line angling, we caught 664, 803, and 202 Northern Pikeminnow during the fall 2019, fall 2020, and spring 2021 efforts, respectively, for a total of 1,669 fish.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larger than the single census estimators. Confidence intervals for the fall 2020 effort were more varied, likely resulting from fewer recaptures in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28,144 (95% CI: 14,378 - 59,978). By multiplying the ratio (0.53) between the spring CPUE (0.81) and mean of the fall CPUEs (1.54), we estimated there to be 14,897 (95% CI: 7,610 - 31,747)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8"/>
    <w:bookmarkStart w:id="29" w:name="gastric-lavage-1"/>
    <w:p>
      <w:pPr>
        <w:pStyle w:val="Heading2"/>
      </w:pPr>
      <w:r>
        <w:t xml:space="preserve">Gastric Lavage</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 indicating the method was effective. Of the 1,564 Northern Pikeminnow sampled using gastric lavage, we found contents in some form in 350 (22.4%) stomachs and confirmed fish or fish parts in 44 (12.6%) of those. Northern Pikeminnow captured during the spring 2021 effort had a higher proportion of diets with fish contents (6.7%) than fish captured in the fall 2019 (1.8%) and fall 2020 (3.1%)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29"/>
    <w:bookmarkStart w:id="30"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r>
        <w:t xml:space="preserve"> </w:t>
      </w:r>
    </w:p>
    <w:bookmarkEnd w:id="30"/>
    <w:bookmarkEnd w:id="31"/>
    <w:bookmarkStart w:id="41"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approsimately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2"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Yet, angling methods may have a size selection bias, thereby limiting our abundance estimates to a size threshold susceptible to angling.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indicting that marked fish were still susceptible to angling.</w:t>
      </w:r>
      <w:r>
        <w:t xml:space="preserve"> </w:t>
      </w:r>
      <w:r>
        <w:t xml:space="preserve">We also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make marked fish less susceptible to capture. Violations of the assumption of equal catchability between marked and unmarked fish may lead to an overestimate of abundance of Northern Pikeminnow in our study if marked fish have lower catchability.</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p>
    <w:bookmarkEnd w:id="32"/>
    <w:bookmarkStart w:id="33" w:name="gastric-lavage-2"/>
    <w:p>
      <w:pPr>
        <w:pStyle w:val="Heading2"/>
      </w:pPr>
      <w:r>
        <w:t xml:space="preserve">Gastric Lavage</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w:t>
      </w:r>
      <w:r>
        <w:rPr>
          <w:bCs/>
          <w:b/>
        </w:rPr>
        <w:t xml:space="preserve">Hodgson1998?</w:t>
      </w:r>
      <w:r>
        <w:t xml:space="preserve">)</w:t>
      </w:r>
      <w:r>
        <w:t xml:space="preserve">), and further, angled fish are much more likely to have empty stomachs</w:t>
      </w:r>
      <w:r>
        <w:t xml:space="preserve"> </w:t>
      </w:r>
      <w:r>
        <w:t xml:space="preserve">(</w:t>
      </w:r>
      <w:r>
        <w:rPr>
          <w:bCs/>
          <w:b/>
        </w:rPr>
        <w:t xml:space="preserve">Jurajda2016?</w:t>
      </w:r>
      <w:r>
        <w:t xml:space="preserve">)</w:t>
      </w:r>
      <w:r>
        <w:t xml:space="preserve">. Second, unlike other predators such as Smallmouth Bass and Walleye that are commonly sampled using gastric lavage</w:t>
      </w:r>
      <w:r>
        <w:t xml:space="preserve"> </w:t>
      </w:r>
      <w:r>
        <w:t xml:space="preserve">(</w:t>
      </w:r>
      <w:r>
        <w:rPr>
          <w:bCs/>
          <w:b/>
        </w:rPr>
        <w:t xml:space="preserve">Kamler2001?</w:t>
      </w:r>
      <w:r>
        <w:t xml:space="preserve">)</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w:t>
      </w:r>
      <w:r>
        <w:rPr>
          <w:bCs/>
          <w:b/>
        </w:rPr>
        <w:t xml:space="preserve">Hartleb1995?</w:t>
      </w:r>
      <w:r>
        <w:t xml:space="preserve">)</w:t>
      </w:r>
      <w:r>
        <w:t xml:space="preserve">, or alternately, requires a modification in methodology to flush food items out the vent of the fish</w:t>
      </w:r>
      <w:r>
        <w:t xml:space="preserve"> </w:t>
      </w:r>
      <w:r>
        <w:t xml:space="preserve">(</w:t>
      </w:r>
      <w:r>
        <w:rPr>
          <w:bCs/>
          <w:b/>
        </w:rPr>
        <w:t xml:space="preserve">Wasowicz1994?</w:t>
      </w:r>
      <w:r>
        <w:t xml:space="preserve">)</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results suggest.</w:t>
      </w:r>
      <w:r>
        <w:t xml:space="preserve"> </w:t>
      </w:r>
    </w:p>
    <w:bookmarkEnd w:id="33"/>
    <w:bookmarkStart w:id="34"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w:t>
      </w:r>
      <w:r>
        <w:rPr>
          <w:bCs/>
          <w:b/>
        </w:rPr>
        <w:t xml:space="preserve">Peterson1999?</w:t>
      </w:r>
      <w:r>
        <w:t xml:space="preserve">)</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4"/>
    <w:bookmarkStart w:id="35"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5"/>
    <w:bookmarkStart w:id="38"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6">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7">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8"/>
    <w:bookmarkStart w:id="39" w:name="management-implications"/>
    <w:p>
      <w:pPr>
        <w:pStyle w:val="Heading2"/>
      </w:pPr>
      <w:r>
        <w:t xml:space="preserve">Management Implications</w:t>
      </w:r>
    </w:p>
    <w:p>
      <w:pPr>
        <w:pStyle w:val="FirstParagraph"/>
      </w:pPr>
      <w:r>
        <w:t xml:space="preserve">Recovery of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hathchery populations which provide for recreational fishing opportunities. Consequently, reducing predation mortality at Deadwater Slough could potentially benefit multiple upriver natural and hatchery populations, including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9"/>
    <w:bookmarkStart w:id="40"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0"/>
    <w:bookmarkEnd w:id="41"/>
    <w:bookmarkStart w:id="42"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Funding for this study was provided by the Bureau of Reclamation, Pacific Northwest Regional Office (contract No. 140R1021F0018) with assistance from the Idaho Governor’s Office of Species Conservation.</w:t>
      </w:r>
    </w:p>
    <w:p>
      <w:r>
        <w:br w:type="page"/>
      </w:r>
    </w:p>
    <w:bookmarkEnd w:id="42"/>
    <w:bookmarkStart w:id="83" w:name="literature-cited"/>
    <w:p>
      <w:pPr>
        <w:pStyle w:val="Heading1"/>
      </w:pPr>
      <w:r>
        <w:t xml:space="preserve">Literature Cited</w:t>
      </w:r>
    </w:p>
    <w:bookmarkStart w:id="82" w:name="refs"/>
    <w:bookmarkStart w:id="43"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3"/>
    <w:bookmarkStart w:id="44"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4"/>
    <w:bookmarkStart w:id="45"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5"/>
    <w:bookmarkStart w:id="46"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6"/>
    <w:bookmarkStart w:id="47"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7"/>
    <w:bookmarkStart w:id="48"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9"/>
    <w:bookmarkStart w:id="50"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0"/>
    <w:bookmarkStart w:id="51"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1"/>
    <w:bookmarkStart w:id="52"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2"/>
    <w:bookmarkStart w:id="53"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3"/>
    <w:bookmarkStart w:id="54"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4"/>
    <w:bookmarkStart w:id="55"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5"/>
    <w:bookmarkStart w:id="56"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6"/>
    <w:bookmarkStart w:id="57"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7"/>
    <w:bookmarkStart w:id="58"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8"/>
    <w:bookmarkStart w:id="59"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59"/>
    <w:bookmarkStart w:id="60"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0"/>
    <w:bookmarkStart w:id="61"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1"/>
    <w:bookmarkStart w:id="62"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2"/>
    <w:bookmarkStart w:id="63"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3"/>
    <w:bookmarkStart w:id="64"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4"/>
    <w:bookmarkStart w:id="65"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5"/>
    <w:bookmarkStart w:id="66"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6"/>
    <w:bookmarkStart w:id="67"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7"/>
    <w:bookmarkStart w:id="68"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8"/>
    <w:bookmarkStart w:id="69"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9"/>
    <w:bookmarkStart w:id="70"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0"/>
    <w:bookmarkStart w:id="71"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1"/>
    <w:bookmarkStart w:id="72"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2"/>
    <w:bookmarkStart w:id="73"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3"/>
    <w:bookmarkStart w:id="74"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4"/>
    <w:bookmarkStart w:id="75"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5"/>
    <w:bookmarkStart w:id="76"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6"/>
    <w:bookmarkStart w:id="77"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7"/>
    <w:bookmarkStart w:id="78"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78"/>
    <w:bookmarkStart w:id="79"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9"/>
    <w:bookmarkStart w:id="80"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0"/>
    <w:bookmarkStart w:id="81"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1"/>
    <w:bookmarkEnd w:id="82"/>
    <w:p>
      <w:r>
        <w:br w:type="page"/>
      </w:r>
    </w:p>
    <w:bookmarkEnd w:id="83"/>
    <w:bookmarkStart w:id="85" w:name="tables"/>
    <w:p>
      <w:pPr>
        <w:pStyle w:val="Heading1"/>
      </w:pPr>
      <w:r>
        <w:t xml:space="preserve">Tables</w:t>
      </w:r>
    </w:p>
    <w:bookmarkStart w:id="84" w:name="tables"/>
    <w:bookmarkEnd w:id="84"/>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5"/>
    <w:bookmarkStart w:id="94" w:name="figures"/>
    <w:p>
      <w:pPr>
        <w:pStyle w:val="Heading1"/>
      </w:pPr>
      <w:r>
        <w:t xml:space="preserve">Figures</w:t>
      </w:r>
    </w:p>
    <w:bookmarkStart w:id="86" w:name="figures"/>
    <w:bookmarkEnd w:id="86"/>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7"/>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3" w:name="colophon"/>
    <w:p>
      <w:pPr>
        <w:pStyle w:val="Heading3"/>
      </w:pPr>
      <w:r>
        <w:t xml:space="preserve">Colophon</w:t>
      </w:r>
    </w:p>
    <w:p>
      <w:pPr>
        <w:pStyle w:val="FirstParagraph"/>
      </w:pPr>
      <w:r>
        <w:t xml:space="preserve">This report was generated on 2021-12-30 10:53:37 using the following computational environment and dependencies:</w:t>
      </w:r>
    </w:p>
    <w:p>
      <w:pPr>
        <w:pStyle w:val="SourceCode"/>
      </w:pPr>
      <w:r>
        <w:rPr>
          <w:rStyle w:val="VerbatimChar"/>
        </w:rPr>
        <w:t xml:space="preserve">#&gt; - Session info  --------------------------------------------------------------</w:t>
      </w:r>
      <w:r>
        <w:br/>
      </w:r>
      <w:r>
        <w:rPr>
          <w:rStyle w:val="VerbatimChar"/>
        </w:rPr>
        <w:t xml:space="preserve">#&gt;  hash: Statue of Liberty, camping, heart with arrow</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2021-12-30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[7ac456c] 2021-12-30: TB results edits</w:t>
      </w:r>
    </w:p>
    <w:bookmarkEnd w:id="93"/>
    <w:bookmarkEnd w:id="94"/>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2021-12-30T17:53:40Z</dcterms:created>
  <dcterms:modified xsi:type="dcterms:W3CDTF">2021-12-30T17:53:40Z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